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НАУЧНЫХ ДОСТИЖЕНИЙ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«</w:t>
      </w:r>
      <w:r>
        <w:rPr>
          <w:rFonts w:ascii="Arial" w:hAnsi="Arial"/>
          <w:b/>
          <w:szCs w:val="28"/>
          <w:lang w:val="en-US"/>
        </w:rPr>
        <w:t>GOLDEN</w:t>
      </w:r>
      <w:r w:rsidRPr="00B507A1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SCIENCE</w:t>
      </w:r>
      <w:r>
        <w:rPr>
          <w:rFonts w:ascii="Arial" w:hAnsi="Arial"/>
          <w:b/>
          <w:szCs w:val="28"/>
        </w:rPr>
        <w:t xml:space="preserve"> – 2015»</w:t>
      </w:r>
      <w:r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 июля 2015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Приглашаем всех желающих принять участие в Международном конкурсе по представлению научных достижений по всем научным направлениям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DF585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DF585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Смысл конкурса: авторы в формате презентации направляют описание всех своих достижений за любой промежуток времени</w:t>
      </w:r>
      <w:r>
        <w:rPr>
          <w:spacing w:val="-4"/>
          <w:sz w:val="24"/>
          <w:szCs w:val="24"/>
        </w:rPr>
        <w:t xml:space="preserve">. Оцениваются сами научные достижения, а также грамотность выполнения презентации, </w:t>
      </w:r>
      <w:proofErr w:type="spellStart"/>
      <w:r>
        <w:rPr>
          <w:spacing w:val="-4"/>
          <w:sz w:val="24"/>
          <w:szCs w:val="24"/>
        </w:rPr>
        <w:t>креативность</w:t>
      </w:r>
      <w:proofErr w:type="spellEnd"/>
      <w:r>
        <w:rPr>
          <w:spacing w:val="-4"/>
          <w:sz w:val="24"/>
          <w:szCs w:val="24"/>
        </w:rPr>
        <w:t xml:space="preserve"> представления достижений и т.д.</w:t>
      </w: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4403FB">
        <w:rPr>
          <w:spacing w:val="-4"/>
          <w:sz w:val="24"/>
          <w:szCs w:val="24"/>
        </w:rPr>
        <w:t xml:space="preserve">работ </w:t>
      </w:r>
      <w:r>
        <w:rPr>
          <w:spacing w:val="-4"/>
          <w:sz w:val="24"/>
          <w:szCs w:val="24"/>
        </w:rPr>
        <w:t>и количества участников.</w:t>
      </w: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EF63A4" w:rsidRDefault="00EF63A4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41088" w:rsidRDefault="00341088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341088">
        <w:rPr>
          <w:spacing w:val="-4"/>
          <w:sz w:val="24"/>
          <w:szCs w:val="24"/>
        </w:rPr>
        <w:t>7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</w:t>
      </w:r>
      <w:r w:rsidR="00341088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>.2015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т.д</w:t>
      </w:r>
      <w:proofErr w:type="spell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341088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 w:rsidR="00341088">
        <w:rPr>
          <w:spacing w:val="-4"/>
          <w:sz w:val="24"/>
          <w:szCs w:val="24"/>
        </w:rPr>
        <w:t>июля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Default="00531F0E" w:rsidP="00705553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705553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67547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(презентации)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705553">
        <w:tc>
          <w:tcPr>
            <w:tcW w:w="7080" w:type="dxa"/>
          </w:tcPr>
          <w:p w:rsidR="00C517DB" w:rsidRDefault="00C517DB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работы (краткая аннотация)</w:t>
            </w:r>
          </w:p>
        </w:tc>
        <w:tc>
          <w:tcPr>
            <w:tcW w:w="2384" w:type="dxa"/>
          </w:tcPr>
          <w:p w:rsidR="00C517DB" w:rsidRPr="00E70F17" w:rsidRDefault="00C517DB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rPr>
          <w:trHeight w:val="635"/>
        </w:trPr>
        <w:tc>
          <w:tcPr>
            <w:tcW w:w="7080" w:type="dxa"/>
          </w:tcPr>
          <w:p w:rsidR="00531F0E" w:rsidRPr="00E70F17" w:rsidRDefault="00531F0E" w:rsidP="00705553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531F0E" w:rsidP="00531F0E">
      <w:pPr>
        <w:rPr>
          <w:rFonts w:ascii="Times New Roman" w:hAnsi="Times New Roman" w:cs="Times New Roman"/>
          <w:sz w:val="24"/>
          <w:szCs w:val="24"/>
        </w:rPr>
      </w:pPr>
    </w:p>
    <w:p w:rsidR="008542B2" w:rsidRDefault="008542B2" w:rsidP="00531F0E">
      <w:pPr>
        <w:rPr>
          <w:rFonts w:ascii="Times New Roman" w:hAnsi="Times New Roman" w:cs="Times New Roman"/>
          <w:sz w:val="24"/>
          <w:szCs w:val="24"/>
        </w:rPr>
      </w:pPr>
    </w:p>
    <w:p w:rsidR="000C65D2" w:rsidRDefault="000C65D2" w:rsidP="00531F0E">
      <w:pPr>
        <w:rPr>
          <w:rFonts w:ascii="Times New Roman" w:hAnsi="Times New Roman" w:cs="Times New Roman"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531F0E" w:rsidRDefault="00531F0E" w:rsidP="00531F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Pr="00337934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531F0E" w:rsidRPr="00693391" w:rsidRDefault="00531F0E" w:rsidP="00531F0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705553">
        <w:trPr>
          <w:trHeight w:val="1447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31F0E" w:rsidRPr="00693391" w:rsidTr="00705553">
        <w:trPr>
          <w:trHeight w:val="1192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705553">
        <w:trPr>
          <w:trHeight w:val="435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3410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854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41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Golden</w:t>
            </w:r>
            <w:r w:rsidR="00341088" w:rsidRPr="00341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341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8542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705553">
        <w:trPr>
          <w:trHeight w:val="435"/>
        </w:trPr>
        <w:tc>
          <w:tcPr>
            <w:tcW w:w="9554" w:type="dxa"/>
            <w:gridSpan w:val="2"/>
          </w:tcPr>
          <w:p w:rsidR="00531F0E" w:rsidRDefault="00531F0E" w:rsidP="00705553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705553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7055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531F0E" w:rsidRDefault="00531F0E" w:rsidP="00531F0E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4A4B48" w:rsidRDefault="004A4B48" w:rsidP="004A4B4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4A4B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4A4B48" w:rsidRDefault="004A4B48" w:rsidP="004A4B4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4A4B48" w:rsidRDefault="004A4B48" w:rsidP="004A4B4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№27)</w:t>
      </w: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722C5F">
        <w:rPr>
          <w:rFonts w:ascii="Times New Roman" w:hAnsi="Times New Roman"/>
          <w:bCs/>
          <w:spacing w:val="-4"/>
          <w:sz w:val="24"/>
          <w:szCs w:val="24"/>
        </w:rPr>
        <w:t>0-25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Patrol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» 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преодоления конфликтных ситуаций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Tolerance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T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ime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22C5F" w:rsidRDefault="00722C5F" w:rsidP="00722C5F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достижений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Golden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22C5F" w:rsidRDefault="00722C5F" w:rsidP="00722C5F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22C5F" w:rsidRDefault="00722C5F" w:rsidP="00722C5F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E947B3" w:rsidRPr="00E947B3" w:rsidRDefault="00E947B3" w:rsidP="00722C5F">
      <w:pPr>
        <w:spacing w:after="0" w:line="336" w:lineRule="auto"/>
        <w:jc w:val="both"/>
        <w:textAlignment w:val="baseline"/>
        <w:rPr>
          <w:spacing w:val="-4"/>
          <w:sz w:val="24"/>
          <w:szCs w:val="24"/>
        </w:rPr>
      </w:pPr>
    </w:p>
    <w:sectPr w:rsidR="00E947B3" w:rsidRPr="00E947B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71BE8"/>
    <w:rsid w:val="00174205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20348B"/>
    <w:rsid w:val="00206BEB"/>
    <w:rsid w:val="002177BB"/>
    <w:rsid w:val="00232CEE"/>
    <w:rsid w:val="00242101"/>
    <w:rsid w:val="00251A32"/>
    <w:rsid w:val="0026150F"/>
    <w:rsid w:val="002630A2"/>
    <w:rsid w:val="0026627D"/>
    <w:rsid w:val="0027162A"/>
    <w:rsid w:val="00284A30"/>
    <w:rsid w:val="002B0ACC"/>
    <w:rsid w:val="002B406F"/>
    <w:rsid w:val="002B6D7F"/>
    <w:rsid w:val="002D1D62"/>
    <w:rsid w:val="002D7955"/>
    <w:rsid w:val="002E7327"/>
    <w:rsid w:val="00313A2F"/>
    <w:rsid w:val="00316815"/>
    <w:rsid w:val="00321E12"/>
    <w:rsid w:val="00330682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53458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74FB"/>
    <w:rsid w:val="00531F0E"/>
    <w:rsid w:val="005335BF"/>
    <w:rsid w:val="00536038"/>
    <w:rsid w:val="0054031E"/>
    <w:rsid w:val="005514B3"/>
    <w:rsid w:val="0058769F"/>
    <w:rsid w:val="005B1B76"/>
    <w:rsid w:val="005B4A66"/>
    <w:rsid w:val="005E3C71"/>
    <w:rsid w:val="005E445B"/>
    <w:rsid w:val="005F677C"/>
    <w:rsid w:val="00603EA9"/>
    <w:rsid w:val="00636ADE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B3E47"/>
    <w:rsid w:val="008B3F3C"/>
    <w:rsid w:val="008C7872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13C8"/>
    <w:rsid w:val="00E01D89"/>
    <w:rsid w:val="00E038BD"/>
    <w:rsid w:val="00E3011A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B04FC"/>
    <w:rsid w:val="00FB2D0E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2015-06-18T10:09:00Z</dcterms:created>
  <dcterms:modified xsi:type="dcterms:W3CDTF">2015-06-20T14:14:00Z</dcterms:modified>
</cp:coreProperties>
</file>